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pPr>
      <w:r>
        <w:drawing>
          <wp:inline distT="0" distB="0" distL="0" distR="0">
            <wp:extent cx="1783080" cy="445770"/>
            <wp:docPr id="1" name="TWBC Logo"/>
            <a:graphic>
              <a:graphicData uri="http://schemas.openxmlformats.org/drawingml/2006/picture">
                <pic:pic>
                  <pic:nvPicPr>
                    <pic:cNvPr id="0" name="TWBC"/>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t xml:space="preserve">Long-Form Teaching Video  |  1 Corinthians 15:2  |  truewordsbaptist.org</w:t>
      </w:r>
    </w:p>
    <w:p>
      <w:pPr>
        <w:pStyle w:val="Title"/>
      </w:pPr>
      <w:r>
        <w:t xml:space="preserve">The Resurrection Context That Explains “Keep in Memory” — Long-Form Teaching Video</w:t>
      </w:r>
    </w:p>
    <w:p>
      <w:pPr>
        <w:pStyle w:val="Subtitle"/>
      </w:pPr>
      <w:r>
        <w:t xml:space="preserve">Full Teaching Script</w:t>
      </w:r>
    </w:p>
    <w:p>
      <w:pPr>
        <w:pStyle w:val="SubtitleSmall"/>
      </w:pPr>
      <w:r>
        <w:t xml:space="preserve">1 Corinthians 15:2</w:t>
      </w:r>
    </w:p>
    <w:p>
      <w:pPr>
        <w:pStyle w:val="Heading2"/>
      </w:pPr>
      <w:r>
        <w:t xml:space="preserve">At a Glance</w:t>
      </w:r>
    </w:p>
    <w:tbl>
      <w:tblPr>
        <w:tblW w:w="0" w:type="auto"/>
        <w:tblBorders>
          <w:top w:val="single" w:sz="4" w:color="B7B7B7"/>
          <w:left w:val="single" w:sz="4" w:color="B7B7B7"/>
          <w:bottom w:val="single" w:sz="4" w:color="B7B7B7"/>
          <w:right w:val="single" w:sz="4" w:color="B7B7B7"/>
          <w:insideH w:val="single" w:sz="3" w:color="D9D9D9"/>
          <w:insideV w:val="single" w:sz="3" w:color="D9D9D9"/>
        </w:tblBorders>
      </w:tblPr>
      <w:tr>
        <w:tc>
          <w:tcPr>
            <w:tcW w:w="0" w:type="auto"/>
            <w:tcMar>
              <w:top w:w="80" w:type="dxa"/>
              <w:left w:w="100" w:type="dxa"/>
              <w:bottom w:w="80" w:type="dxa"/>
              <w:right w:w="100" w:type="dxa"/>
            </w:tcMar>
          </w:tcPr>
          <w:p>
            <w:pPr>
              <w:pStyle w:val="EvidenceLabel"/>
            </w:pPr>
            <w:r>
              <w:t xml:space="preserve">Item</w:t>
            </w:r>
          </w:p>
        </w:tc>
        <w:tc>
          <w:tcPr>
            <w:tcW w:w="0" w:type="auto"/>
            <w:tcMar>
              <w:top w:w="80" w:type="dxa"/>
              <w:left w:w="100" w:type="dxa"/>
              <w:bottom w:w="80" w:type="dxa"/>
              <w:right w:w="100" w:type="dxa"/>
            </w:tcMar>
          </w:tcPr>
          <w:p>
            <w:pPr>
              <w:pStyle w:val="EvidenceLabel"/>
            </w:pPr>
            <w:r>
              <w:t xml:space="preserve">Summary</w:t>
            </w:r>
          </w:p>
        </w:tc>
      </w:tr>
      <w:tr>
        <w:tc>
          <w:tcPr>
            <w:tcW w:w="0" w:type="auto"/>
            <w:tcMar>
              <w:top w:w="80" w:type="dxa"/>
              <w:left w:w="100" w:type="dxa"/>
              <w:bottom w:w="80" w:type="dxa"/>
              <w:right w:w="100" w:type="dxa"/>
            </w:tcMar>
          </w:tcPr>
          <w:p>
            <w:pPr>
              <w:pStyle w:val="Normal"/>
            </w:pPr>
            <w:r>
              <w:t xml:space="preserve">Primary Passage</w:t>
            </w:r>
          </w:p>
        </w:tc>
        <w:tc>
          <w:tcPr>
            <w:tcW w:w="0" w:type="auto"/>
            <w:tcMar>
              <w:top w:w="80" w:type="dxa"/>
              <w:left w:w="100" w:type="dxa"/>
              <w:bottom w:w="80" w:type="dxa"/>
              <w:right w:w="100" w:type="dxa"/>
            </w:tcMar>
          </w:tcPr>
          <w:p>
            <w:pPr>
              <w:pStyle w:val="Normal"/>
            </w:pPr>
            <w:r>
              <w:t xml:space="preserve">1 Corinthians 15:2, read within 1 Corinthians 15:1-19</w:t>
            </w:r>
          </w:p>
        </w:tc>
      </w:tr>
      <w:tr>
        <w:tc>
          <w:tcPr>
            <w:tcW w:w="0" w:type="auto"/>
            <w:tcMar>
              <w:top w:w="80" w:type="dxa"/>
              <w:left w:w="100" w:type="dxa"/>
              <w:bottom w:w="80" w:type="dxa"/>
              <w:right w:w="100" w:type="dxa"/>
            </w:tcMar>
          </w:tcPr>
          <w:p>
            <w:pPr>
              <w:pStyle w:val="Normal"/>
            </w:pPr>
            <w:r>
              <w:t xml:space="preserve">Main Question</w:t>
            </w:r>
          </w:p>
        </w:tc>
        <w:tc>
          <w:tcPr>
            <w:tcW w:w="0" w:type="auto"/>
            <w:tcMar>
              <w:top w:w="80" w:type="dxa"/>
              <w:left w:w="100" w:type="dxa"/>
              <w:bottom w:w="80" w:type="dxa"/>
              <w:right w:w="100" w:type="dxa"/>
            </w:tcMar>
          </w:tcPr>
          <w:p>
            <w:pPr>
              <w:pStyle w:val="Normal"/>
            </w:pPr>
            <w:r>
              <w:t xml:space="preserve">Does keeping the Gospel in memory mean a saved person must maintain conscious recall in order to remain saved?</w:t>
            </w:r>
          </w:p>
        </w:tc>
      </w:tr>
      <w:tr>
        <w:tc>
          <w:tcPr>
            <w:tcW w:w="0" w:type="auto"/>
            <w:tcMar>
              <w:top w:w="80" w:type="dxa"/>
              <w:left w:w="100" w:type="dxa"/>
              <w:bottom w:w="80" w:type="dxa"/>
              <w:right w:w="100" w:type="dxa"/>
            </w:tcMar>
          </w:tcPr>
          <w:p>
            <w:pPr>
              <w:pStyle w:val="Normal"/>
            </w:pPr>
            <w:r>
              <w:t xml:space="preserve">Context</w:t>
            </w:r>
          </w:p>
        </w:tc>
        <w:tc>
          <w:tcPr>
            <w:tcW w:w="0" w:type="auto"/>
            <w:tcMar>
              <w:top w:w="80" w:type="dxa"/>
              <w:left w:w="100" w:type="dxa"/>
              <w:bottom w:w="80" w:type="dxa"/>
              <w:right w:w="100" w:type="dxa"/>
            </w:tcMar>
          </w:tcPr>
          <w:p>
            <w:pPr>
              <w:pStyle w:val="Normal"/>
            </w:pPr>
            <w:r>
              <w:t xml:space="preserve">Paul is correcting a resurrection error among people who had already received and believed the Gospel he preached.</w:t>
            </w:r>
          </w:p>
        </w:tc>
      </w:tr>
      <w:tr>
        <w:tc>
          <w:tcPr>
            <w:tcW w:w="0" w:type="auto"/>
            <w:tcMar>
              <w:top w:w="80" w:type="dxa"/>
              <w:left w:w="100" w:type="dxa"/>
              <w:bottom w:w="80" w:type="dxa"/>
              <w:right w:w="100" w:type="dxa"/>
            </w:tcMar>
          </w:tcPr>
          <w:p>
            <w:pPr>
              <w:pStyle w:val="Normal"/>
            </w:pPr>
            <w:r>
              <w:t xml:space="preserve">Key Distinction</w:t>
            </w:r>
          </w:p>
        </w:tc>
        <w:tc>
          <w:tcPr>
            <w:tcW w:w="0" w:type="auto"/>
            <w:tcMar>
              <w:top w:w="80" w:type="dxa"/>
              <w:left w:w="100" w:type="dxa"/>
              <w:bottom w:w="80" w:type="dxa"/>
              <w:right w:w="100" w:type="dxa"/>
            </w:tcMar>
          </w:tcPr>
          <w:p>
            <w:pPr>
              <w:pStyle w:val="Normal"/>
            </w:pPr>
            <w:r>
              <w:t xml:space="preserve">Involuntary loss of memory is different from knowingly departing from the Gospel message.</w:t>
            </w:r>
          </w:p>
        </w:tc>
      </w:tr>
      <w:tr>
        <w:tc>
          <w:tcPr>
            <w:tcW w:w="0" w:type="auto"/>
            <w:tcMar>
              <w:top w:w="80" w:type="dxa"/>
              <w:left w:w="100" w:type="dxa"/>
              <w:bottom w:w="80" w:type="dxa"/>
              <w:right w:w="100" w:type="dxa"/>
            </w:tcMar>
          </w:tcPr>
          <w:p>
            <w:pPr>
              <w:pStyle w:val="Normal"/>
            </w:pPr>
            <w:r>
              <w:t xml:space="preserve">Bottom Line</w:t>
            </w:r>
          </w:p>
        </w:tc>
        <w:tc>
          <w:tcPr>
            <w:tcW w:w="0" w:type="auto"/>
            <w:tcMar>
              <w:top w:w="80" w:type="dxa"/>
              <w:left w:w="100" w:type="dxa"/>
              <w:bottom w:w="80" w:type="dxa"/>
              <w:right w:w="100" w:type="dxa"/>
            </w:tcMar>
          </w:tcPr>
          <w:p>
            <w:pPr>
              <w:pStyle w:val="Normal"/>
            </w:pPr>
            <w:r>
              <w:t xml:space="preserve">First Corinthians 15:2 does not teach that dementia, injury, or ordinary memory loss causes a believer to lose salvation or proves that the person was never saved.</w:t>
            </w:r>
          </w:p>
        </w:tc>
      </w:tr>
    </w:tbl>
    <w:p/>
    <w:p>
      <w:pPr>
        <w:pStyle w:val="Heading2"/>
      </w:pPr>
      <w:r>
        <w:t xml:space="preserve">Segment 1 — Start With the Whole Sentence</w:t>
      </w:r>
    </w:p>
    <w:p>
      <w:pPr>
        <w:pStyle w:val="Heading3"/>
      </w:pPr>
      <w:r>
        <w:t xml:space="preserve">Learning Objective</w:t>
      </w:r>
    </w:p>
    <w:p>
      <w:pPr>
        <w:pStyle w:val="Normal"/>
      </w:pPr>
      <w:r>
        <w:t xml:space="preserve">Understand the three parts of 1 Corinthians 15:2 together instead of isolating the phrase keep in memory.</w:t>
      </w:r>
    </w:p>
    <w:p>
      <w:pPr>
        <w:pStyle w:val="Heading3"/>
      </w:pPr>
      <w:r>
        <w:t xml:space="preserve">Scripture</w:t>
      </w:r>
    </w:p>
    <w:p>
      <w:pPr>
        <w:pStyle w:val="ScriptureBlock"/>
      </w:pPr>
      <w:r>
        <w:rPr>
          <w:b/>
        </w:rPr>
        <w:t xml:space="preserve">1 Corinthians 15:1-4</w:t>
      </w:r>
      <w:r>
        <w:t xml:space="preserve">  Moreover, brethren, I declare unto you the gospel which I preached unto you, which also ye have received, and wherein ye stand; </w:t>
      </w:r>
      <w:r>
        <w:rPr>
          <w:b/>
        </w:rPr>
        <w:t xml:space="preserve">2</w:t>
      </w:r>
      <w:r>
        <w:t xml:space="preserve"> By which also ye are saved, if ye keep in memory what I preached unto you, unless ye have believed in vain. </w:t>
      </w:r>
      <w:r>
        <w:rPr>
          <w:b/>
        </w:rPr>
        <w:t xml:space="preserve">3</w:t>
      </w:r>
      <w:r>
        <w:t xml:space="preserve"> For I delivered unto you first of all that which I also received, how that Christ died for our sins according to the scriptures; </w:t>
      </w:r>
      <w:r>
        <w:rPr>
          <w:b/>
        </w:rPr>
        <w:t xml:space="preserve">4</w:t>
      </w:r>
      <w:r>
        <w:t xml:space="preserve"> And that he was buried, and that he rose again the third day according to the scriptures:</w:t>
      </w:r>
    </w:p>
    <w:p>
      <w:pPr>
        <w:pStyle w:val="Heading3"/>
      </w:pPr>
      <w:r>
        <w:t xml:space="preserve">Teaching</w:t>
      </w:r>
    </w:p>
    <w:p>
      <w:pPr>
        <w:pStyle w:val="Normal"/>
      </w:pPr>
      <w:r>
        <w:t xml:space="preserve">Verse 2 contains three connected ideas.</w:t>
      </w:r>
    </w:p>
    <w:p>
      <w:pPr>
        <w:pStyle w:val="Normal"/>
      </w:pPr>
      <w:r>
        <w:t xml:space="preserve">Paul speaks of the Gospel by which the Corinthians are saved. He adds the condition that they keep in memory what he preached unto them. Then he adds unless they have believed in vain.</w:t>
      </w:r>
    </w:p>
    <w:p>
      <w:pPr>
        <w:pStyle w:val="Normal"/>
      </w:pPr>
      <w:r>
        <w:t xml:space="preserve">All three parts belong together.</w:t>
      </w:r>
    </w:p>
    <w:p>
      <w:pPr>
        <w:pStyle w:val="Normal"/>
      </w:pPr>
      <w:r>
        <w:t xml:space="preserve">The verse does not say that memory itself is the thing that saves. The words by which point back to the Gospel Paul had already preached.</w:t>
      </w:r>
    </w:p>
    <w:p>
      <w:pPr>
        <w:pStyle w:val="Normal"/>
      </w:pPr>
      <w:r>
        <w:t xml:space="preserve">The condition is still real. Paul expects the Corinthians to retain what he preached. But we have to determine what that means from the argument of the chapter.</w:t>
      </w:r>
    </w:p>
    <w:p>
      <w:pPr>
        <w:pStyle w:val="Heading3"/>
      </w:pPr>
      <w:r>
        <w:t xml:space="preserve">Recap</w:t>
      </w:r>
    </w:p>
    <w:p>
      <w:pPr>
        <w:pStyle w:val="Normal"/>
      </w:pPr>
      <w:r>
        <w:t xml:space="preserve">The Gospel is connected with salvation. Keeping in memory qualifies Paul’s statement, and believed in vain must also be explained. None of those phrases should be interpreted by itself.</w:t>
      </w:r>
    </w:p>
    <w:p>
      <w:pPr>
        <w:pStyle w:val="Heading2"/>
      </w:pPr>
      <w:r>
        <w:t xml:space="preserve">Segment 2 — Who Is Paul Speaking To?</w:t>
      </w:r>
    </w:p>
    <w:p>
      <w:pPr>
        <w:pStyle w:val="Heading3"/>
      </w:pPr>
      <w:r>
        <w:t xml:space="preserve">Learning Objective</w:t>
      </w:r>
    </w:p>
    <w:p>
      <w:pPr>
        <w:pStyle w:val="Normal"/>
      </w:pPr>
      <w:r>
        <w:t xml:space="preserve">Identify how Paul describes the Corinthian audience before deciding whether verse 2 is talking only about people who were never truly saved.</w:t>
      </w:r>
    </w:p>
    <w:p>
      <w:pPr>
        <w:pStyle w:val="Heading3"/>
      </w:pPr>
      <w:r>
        <w:t xml:space="preserve">Teaching</w:t>
      </w:r>
    </w:p>
    <w:p>
      <w:pPr>
        <w:pStyle w:val="Normal"/>
      </w:pPr>
      <w:r>
        <w:t xml:space="preserve">Paul calls them brethren.</w:t>
      </w:r>
    </w:p>
    <w:p>
      <w:pPr>
        <w:pStyle w:val="Normal"/>
      </w:pPr>
      <w:r>
        <w:t xml:space="preserve">He says the Gospel had already been preached to them.</w:t>
      </w:r>
    </w:p>
    <w:p>
      <w:pPr>
        <w:pStyle w:val="Normal"/>
      </w:pPr>
      <w:r>
        <w:t xml:space="preserve">They had received it.</w:t>
      </w:r>
    </w:p>
    <w:p>
      <w:pPr>
        <w:pStyle w:val="Normal"/>
      </w:pPr>
      <w:r>
        <w:t xml:space="preserve">They were standing in it.</w:t>
      </w:r>
    </w:p>
    <w:p>
      <w:pPr>
        <w:pStyle w:val="Normal"/>
      </w:pPr>
      <w:r>
        <w:t xml:space="preserve">He speaks of them using salvation language.</w:t>
      </w:r>
    </w:p>
    <w:p>
      <w:pPr>
        <w:pStyle w:val="Normal"/>
      </w:pPr>
      <w:r>
        <w:t xml:space="preserve">The natural reading is that Paul is addressing the Corinthian church collectively as believers.</w:t>
      </w:r>
    </w:p>
    <w:p>
      <w:pPr>
        <w:pStyle w:val="Normal"/>
      </w:pPr>
      <w:r>
        <w:t xml:space="preserve">That does not require the conclusion that every single person connected with the congregation was unquestionably regenerate. Scripture does not give us enough information to make that claim about every individual.</w:t>
      </w:r>
    </w:p>
    <w:p>
      <w:pPr>
        <w:pStyle w:val="Normal"/>
      </w:pPr>
      <w:r>
        <w:t xml:space="preserve">But the passage also gives no indication that Paul suddenly changes audiences in verse 2 and begins speaking only to false professors.</w:t>
      </w:r>
    </w:p>
    <w:p>
      <w:pPr>
        <w:pStyle w:val="Normal"/>
      </w:pPr>
      <w:r>
        <w:t xml:space="preserve">Paul also says they had believed.</w:t>
      </w:r>
    </w:p>
    <w:p>
      <w:pPr>
        <w:pStyle w:val="Normal"/>
      </w:pPr>
      <w:r>
        <w:t xml:space="preserve">That wording should be allowed to stand. The text does not say they pretended to believe or merely claimed to believe.</w:t>
      </w:r>
    </w:p>
    <w:p>
      <w:pPr>
        <w:pStyle w:val="Normal"/>
      </w:pPr>
      <w:r>
        <w:t xml:space="preserve">The question is what Paul means when he adds the words believed in vain.</w:t>
      </w:r>
    </w:p>
    <w:p>
      <w:pPr>
        <w:pStyle w:val="Heading3"/>
      </w:pPr>
      <w:r>
        <w:t xml:space="preserve">Recap</w:t>
      </w:r>
    </w:p>
    <w:p>
      <w:pPr>
        <w:pStyle w:val="Normal"/>
      </w:pPr>
      <w:r>
        <w:t xml:space="preserve">Paul is speaking to a church that had received, believed, and stood in the Gospel. The text does not naturally begin with the assumption that the people in verse 2 were never saved.</w:t>
      </w:r>
    </w:p>
    <w:p>
      <w:pPr>
        <w:pStyle w:val="Heading2"/>
      </w:pPr>
      <w:r>
        <w:t xml:space="preserve">Segment 3 — What Must They Keep in Memory?</w:t>
      </w:r>
    </w:p>
    <w:p>
      <w:pPr>
        <w:pStyle w:val="Heading3"/>
      </w:pPr>
      <w:r>
        <w:t xml:space="preserve">Learning Objective</w:t>
      </w:r>
    </w:p>
    <w:p>
      <w:pPr>
        <w:pStyle w:val="Normal"/>
      </w:pPr>
      <w:r>
        <w:t xml:space="preserve">Identify the actual object of the command.</w:t>
      </w:r>
    </w:p>
    <w:p>
      <w:pPr>
        <w:pStyle w:val="Heading3"/>
      </w:pPr>
      <w:r>
        <w:t xml:space="preserve">Teaching</w:t>
      </w:r>
    </w:p>
    <w:p>
      <w:pPr>
        <w:pStyle w:val="Normal"/>
      </w:pPr>
      <w:r>
        <w:t xml:space="preserve">Paul does not speak of memory in the abstract.</w:t>
      </w:r>
    </w:p>
    <w:p>
      <w:pPr>
        <w:pStyle w:val="Normal"/>
      </w:pPr>
      <w:r>
        <w:t xml:space="preserve">He directs the Corinthians back to what he preached unto them.</w:t>
      </w:r>
    </w:p>
    <w:p>
      <w:pPr>
        <w:pStyle w:val="Normal"/>
      </w:pPr>
      <w:r>
        <w:t xml:space="preserve">Verses 3 and 4 immediately rehearse that message. Christ died for our sins according to the Scriptures. He was buried. He rose again the third day according to the Scriptures.</w:t>
      </w:r>
    </w:p>
    <w:p>
      <w:pPr>
        <w:pStyle w:val="Normal"/>
      </w:pPr>
      <w:r>
        <w:t xml:space="preserve">So the issue is not whether the Corinthians could keep miscellaneous religious facts stored in their minds.</w:t>
      </w:r>
    </w:p>
    <w:p>
      <w:pPr>
        <w:pStyle w:val="Normal"/>
      </w:pPr>
      <w:r>
        <w:t xml:space="preserve">Paul is concerned with retaining the Gospel he delivered.</w:t>
      </w:r>
    </w:p>
    <w:p>
      <w:pPr>
        <w:pStyle w:val="Normal"/>
      </w:pPr>
      <w:r>
        <w:t xml:space="preserve">The resurrection becomes especially important because it is the doctrine being challenged later in the chapter.</w:t>
      </w:r>
    </w:p>
    <w:p>
      <w:pPr>
        <w:pStyle w:val="Normal"/>
      </w:pPr>
      <w:r>
        <w:t xml:space="preserve">That gives keep in memory an objective standard. The Corinthians were not free to reshape the Gospel according to whatever they later preferred to believe. They were to remain anchored to what Paul had preached.</w:t>
      </w:r>
    </w:p>
    <w:p>
      <w:pPr>
        <w:pStyle w:val="Heading3"/>
      </w:pPr>
      <w:r>
        <w:t xml:space="preserve">Recap</w:t>
      </w:r>
    </w:p>
    <w:p>
      <w:pPr>
        <w:pStyle w:val="Normal"/>
      </w:pPr>
      <w:r>
        <w:t xml:space="preserve">Keeping in memory concerns the apostolic Gospel Paul delivered, not memory as an independent spiritual work.</w:t>
      </w:r>
    </w:p>
    <w:p>
      <w:pPr>
        <w:pStyle w:val="Heading2"/>
      </w:pPr>
      <w:r>
        <w:t xml:space="preserve">Segment 4 — The Chapter Reveals the Actual Problem</w:t>
      </w:r>
    </w:p>
    <w:p>
      <w:pPr>
        <w:pStyle w:val="Heading3"/>
      </w:pPr>
      <w:r>
        <w:t xml:space="preserve">Learning Objective</w:t>
      </w:r>
    </w:p>
    <w:p>
      <w:pPr>
        <w:pStyle w:val="Normal"/>
      </w:pPr>
      <w:r>
        <w:t xml:space="preserve">See why resurrection denial controls the interpretation of the passage.</w:t>
      </w:r>
    </w:p>
    <w:p>
      <w:pPr>
        <w:pStyle w:val="Heading3"/>
      </w:pPr>
      <w:r>
        <w:t xml:space="preserve">Scripture</w:t>
      </w:r>
    </w:p>
    <w:p>
      <w:pPr>
        <w:pStyle w:val="ScriptureBlock"/>
      </w:pPr>
      <w:r>
        <w:rPr>
          <w:b/>
        </w:rPr>
        <w:t xml:space="preserve">1 Corinthians 15:12</w:t>
      </w:r>
      <w:r>
        <w:t xml:space="preserve">  Now if Christ be preached that he rose from the dead, how say some among you that there is no resurrection of the dead?</w:t>
      </w:r>
    </w:p>
    <w:p>
      <w:pPr>
        <w:pStyle w:val="Heading3"/>
      </w:pPr>
      <w:r>
        <w:t xml:space="preserve">Teaching</w:t>
      </w:r>
    </w:p>
    <w:p>
      <w:pPr>
        <w:pStyle w:val="Normal"/>
      </w:pPr>
      <w:r>
        <w:t xml:space="preserve">Some among the Corinthians were saying there was no resurrection of the dead.</w:t>
      </w:r>
    </w:p>
    <w:p>
      <w:pPr>
        <w:pStyle w:val="Normal"/>
      </w:pPr>
      <w:r>
        <w:t xml:space="preserve">Paul had preached the resurrection as part of the Gospel.</w:t>
      </w:r>
    </w:p>
    <w:p>
      <w:pPr>
        <w:pStyle w:val="Normal"/>
      </w:pPr>
      <w:r>
        <w:t xml:space="preserve">Now people among them were holding a position that contradicted what he had preached.</w:t>
      </w:r>
    </w:p>
    <w:p>
      <w:pPr>
        <w:pStyle w:val="Normal"/>
      </w:pPr>
      <w:r>
        <w:t xml:space="preserve">That is the actual problem in the chapter.</w:t>
      </w:r>
    </w:p>
    <w:p>
      <w:pPr>
        <w:pStyle w:val="Normal"/>
      </w:pPr>
      <w:r>
        <w:t xml:space="preserve">Nothing in the immediate context describes an elderly believer developing dementia. Nothing describes a brain injury. Nothing describes someone simply failing to retrieve information that he once understood.</w:t>
      </w:r>
    </w:p>
    <w:p>
      <w:pPr>
        <w:pStyle w:val="Normal"/>
      </w:pPr>
      <w:r>
        <w:t xml:space="preserve">Paul is confronting doctrinal contradiction.</w:t>
      </w:r>
    </w:p>
    <w:p>
      <w:pPr>
        <w:pStyle w:val="Normal"/>
      </w:pPr>
      <w:r>
        <w:t xml:space="preserve">That gives us a necessary distinction.</w:t>
      </w:r>
    </w:p>
    <w:p>
      <w:pPr>
        <w:pStyle w:val="Normal"/>
      </w:pPr>
      <w:r>
        <w:t xml:space="preserve">A person who knows the Gospel and rejects the resurrection is departing from the message Paul preached.</w:t>
      </w:r>
    </w:p>
    <w:p>
      <w:pPr>
        <w:pStyle w:val="Normal"/>
      </w:pPr>
      <w:r>
        <w:t xml:space="preserve">A person whose brain no longer allows him to recall information is suffering cognitive loss.</w:t>
      </w:r>
    </w:p>
    <w:p>
      <w:pPr>
        <w:pStyle w:val="Normal"/>
      </w:pPr>
      <w:r>
        <w:t xml:space="preserve">Those are not the same event.</w:t>
      </w:r>
    </w:p>
    <w:p>
      <w:pPr>
        <w:pStyle w:val="Normal"/>
      </w:pPr>
      <w:r>
        <w:t xml:space="preserve">Only the first situation appears in the Corinthian controversy.</w:t>
      </w:r>
    </w:p>
    <w:p>
      <w:pPr>
        <w:pStyle w:val="Heading3"/>
      </w:pPr>
      <w:r>
        <w:t xml:space="preserve">Viewer Reference — Two Different Problems</w:t>
      </w:r>
    </w:p>
    <w:tbl>
      <w:tblPr>
        <w:tblW w:w="0" w:type="auto"/>
        <w:tblBorders>
          <w:top w:val="single" w:sz="4" w:color="B7B7B7"/>
          <w:left w:val="single" w:sz="4" w:color="B7B7B7"/>
          <w:bottom w:val="single" w:sz="4" w:color="B7B7B7"/>
          <w:right w:val="single" w:sz="4" w:color="B7B7B7"/>
          <w:insideH w:val="single" w:sz="3" w:color="D9D9D9"/>
          <w:insideV w:val="single" w:sz="3" w:color="D9D9D9"/>
        </w:tblBorders>
      </w:tblPr>
      <w:tr>
        <w:tc>
          <w:tcPr>
            <w:tcW w:w="0" w:type="auto"/>
            <w:tcMar>
              <w:top w:w="80" w:type="dxa"/>
              <w:left w:w="100" w:type="dxa"/>
              <w:bottom w:w="80" w:type="dxa"/>
              <w:right w:w="100" w:type="dxa"/>
            </w:tcMar>
          </w:tcPr>
          <w:p>
            <w:pPr>
              <w:pStyle w:val="EvidenceLabel"/>
            </w:pPr>
            <w:r>
              <w:t xml:space="preserve">Situation</w:t>
            </w:r>
          </w:p>
        </w:tc>
        <w:tc>
          <w:tcPr>
            <w:tcW w:w="0" w:type="auto"/>
            <w:tcMar>
              <w:top w:w="80" w:type="dxa"/>
              <w:left w:w="100" w:type="dxa"/>
              <w:bottom w:w="80" w:type="dxa"/>
              <w:right w:w="100" w:type="dxa"/>
            </w:tcMar>
          </w:tcPr>
          <w:p>
            <w:pPr>
              <w:pStyle w:val="EvidenceLabel"/>
            </w:pPr>
            <w:r>
              <w:t xml:space="preserve">What Is Happening?</w:t>
            </w:r>
          </w:p>
        </w:tc>
      </w:tr>
      <w:tr>
        <w:tc>
          <w:tcPr>
            <w:tcW w:w="0" w:type="auto"/>
            <w:tcMar>
              <w:top w:w="80" w:type="dxa"/>
              <w:left w:w="100" w:type="dxa"/>
              <w:bottom w:w="80" w:type="dxa"/>
              <w:right w:w="100" w:type="dxa"/>
            </w:tcMar>
          </w:tcPr>
          <w:p>
            <w:pPr>
              <w:pStyle w:val="Normal"/>
            </w:pPr>
            <w:r>
              <w:t xml:space="preserve">Severe dementia</w:t>
            </w:r>
          </w:p>
        </w:tc>
        <w:tc>
          <w:tcPr>
            <w:tcW w:w="0" w:type="auto"/>
            <w:tcMar>
              <w:top w:w="80" w:type="dxa"/>
              <w:left w:w="100" w:type="dxa"/>
              <w:bottom w:w="80" w:type="dxa"/>
              <w:right w:w="100" w:type="dxa"/>
            </w:tcMar>
          </w:tcPr>
          <w:p>
            <w:pPr>
              <w:pStyle w:val="Normal"/>
            </w:pPr>
            <w:r>
              <w:t xml:space="preserve">Information is no longer mentally accessible</w:t>
            </w:r>
          </w:p>
        </w:tc>
      </w:tr>
      <w:tr>
        <w:tc>
          <w:tcPr>
            <w:tcW w:w="0" w:type="auto"/>
            <w:tcMar>
              <w:top w:w="80" w:type="dxa"/>
              <w:left w:w="100" w:type="dxa"/>
              <w:bottom w:w="80" w:type="dxa"/>
              <w:right w:w="100" w:type="dxa"/>
            </w:tcMar>
          </w:tcPr>
          <w:p>
            <w:pPr>
              <w:pStyle w:val="Normal"/>
            </w:pPr>
            <w:r>
              <w:t xml:space="preserve">Brain injury</w:t>
            </w:r>
          </w:p>
        </w:tc>
        <w:tc>
          <w:tcPr>
            <w:tcW w:w="0" w:type="auto"/>
            <w:tcMar>
              <w:top w:w="80" w:type="dxa"/>
              <w:left w:w="100" w:type="dxa"/>
              <w:bottom w:w="80" w:type="dxa"/>
              <w:right w:w="100" w:type="dxa"/>
            </w:tcMar>
          </w:tcPr>
          <w:p>
            <w:pPr>
              <w:pStyle w:val="Normal"/>
            </w:pPr>
            <w:r>
              <w:t xml:space="preserve">Cognitive ability may be physically impaired</w:t>
            </w:r>
          </w:p>
        </w:tc>
      </w:tr>
      <w:tr>
        <w:tc>
          <w:tcPr>
            <w:tcW w:w="0" w:type="auto"/>
            <w:tcMar>
              <w:top w:w="80" w:type="dxa"/>
              <w:left w:w="100" w:type="dxa"/>
              <w:bottom w:w="80" w:type="dxa"/>
              <w:right w:w="100" w:type="dxa"/>
            </w:tcMar>
          </w:tcPr>
          <w:p>
            <w:pPr>
              <w:pStyle w:val="Normal"/>
            </w:pPr>
            <w:r>
              <w:t xml:space="preserve">Ordinary forgetting</w:t>
            </w:r>
          </w:p>
        </w:tc>
        <w:tc>
          <w:tcPr>
            <w:tcW w:w="0" w:type="auto"/>
            <w:tcMar>
              <w:top w:w="80" w:type="dxa"/>
              <w:left w:w="100" w:type="dxa"/>
              <w:bottom w:w="80" w:type="dxa"/>
              <w:right w:w="100" w:type="dxa"/>
            </w:tcMar>
          </w:tcPr>
          <w:p>
            <w:pPr>
              <w:pStyle w:val="Normal"/>
            </w:pPr>
            <w:r>
              <w:t xml:space="preserve">Information is lost or difficult to retrieve</w:t>
            </w:r>
          </w:p>
        </w:tc>
      </w:tr>
      <w:tr>
        <w:tc>
          <w:tcPr>
            <w:tcW w:w="0" w:type="auto"/>
            <w:tcMar>
              <w:top w:w="80" w:type="dxa"/>
              <w:left w:w="100" w:type="dxa"/>
              <w:bottom w:w="80" w:type="dxa"/>
              <w:right w:w="100" w:type="dxa"/>
            </w:tcMar>
          </w:tcPr>
          <w:p>
            <w:pPr>
              <w:pStyle w:val="Normal"/>
            </w:pPr>
            <w:r>
              <w:t xml:space="preserve">Resurrection denial at Corinth</w:t>
            </w:r>
          </w:p>
        </w:tc>
        <w:tc>
          <w:tcPr>
            <w:tcW w:w="0" w:type="auto"/>
            <w:tcMar>
              <w:top w:w="80" w:type="dxa"/>
              <w:left w:w="100" w:type="dxa"/>
              <w:bottom w:w="80" w:type="dxa"/>
              <w:right w:w="100" w:type="dxa"/>
            </w:tcMar>
          </w:tcPr>
          <w:p>
            <w:pPr>
              <w:pStyle w:val="Normal"/>
            </w:pPr>
            <w:r>
              <w:t xml:space="preserve">Teaching is being accepted that contradicts the Gospel Paul preached</w:t>
            </w:r>
          </w:p>
        </w:tc>
      </w:tr>
    </w:tbl>
    <w:p/>
    <w:p>
      <w:pPr>
        <w:pStyle w:val="Normal"/>
      </w:pPr>
      <w:r>
        <w:t xml:space="preserve">The first three involve memory.</w:t>
      </w:r>
    </w:p>
    <w:p>
      <w:pPr>
        <w:pStyle w:val="Normal"/>
      </w:pPr>
      <w:r>
        <w:t xml:space="preserve">The fourth involves doctrine.</w:t>
      </w:r>
    </w:p>
    <w:p>
      <w:pPr>
        <w:pStyle w:val="Normal"/>
      </w:pPr>
      <w:r>
        <w:t xml:space="preserve">First Corinthians 15 addresses the fourth.</w:t>
      </w:r>
    </w:p>
    <w:p>
      <w:pPr>
        <w:pStyle w:val="Heading2"/>
      </w:pPr>
      <w:r>
        <w:t xml:space="preserve">Segment 5 — Take the Word If Seriously</w:t>
      </w:r>
    </w:p>
    <w:p>
      <w:pPr>
        <w:pStyle w:val="Heading3"/>
      </w:pPr>
      <w:r>
        <w:t xml:space="preserve">Learning Objective</w:t>
      </w:r>
    </w:p>
    <w:p>
      <w:pPr>
        <w:pStyle w:val="Normal"/>
      </w:pPr>
      <w:r>
        <w:t xml:space="preserve">Avoid solving the difficulty by pretending the condition is meaningless.</w:t>
      </w:r>
    </w:p>
    <w:p>
      <w:pPr>
        <w:pStyle w:val="Heading3"/>
      </w:pPr>
      <w:r>
        <w:t xml:space="preserve">Teaching</w:t>
      </w:r>
    </w:p>
    <w:p>
      <w:pPr>
        <w:pStyle w:val="Normal"/>
      </w:pPr>
      <w:r>
        <w:t xml:space="preserve">Paul really does say if ye keep in memory.</w:t>
      </w:r>
    </w:p>
    <w:p>
      <w:pPr>
        <w:pStyle w:val="Normal"/>
      </w:pPr>
      <w:r>
        <w:t xml:space="preserve">The condition should not be erased or treated as accidental wording.</w:t>
      </w:r>
    </w:p>
    <w:p>
      <w:pPr>
        <w:pStyle w:val="Normal"/>
      </w:pPr>
      <w:r>
        <w:t xml:space="preserve">Believers are expected to hold to Gospel truth.</w:t>
      </w:r>
    </w:p>
    <w:p>
      <w:pPr>
        <w:pStyle w:val="Normal"/>
      </w:pPr>
      <w:r>
        <w:t xml:space="preserve">The Corinthians were not free to remove Christ’s resurrection from the Gospel and continue as though nothing had changed.</w:t>
      </w:r>
    </w:p>
    <w:p>
      <w:pPr>
        <w:pStyle w:val="Normal"/>
      </w:pPr>
      <w:r>
        <w:t xml:space="preserve">Christian doctrine matters.</w:t>
      </w:r>
    </w:p>
    <w:p>
      <w:pPr>
        <w:pStyle w:val="Normal"/>
      </w:pPr>
      <w:r>
        <w:t xml:space="preserve">Perseverance in truth matters.</w:t>
      </w:r>
    </w:p>
    <w:p>
      <w:pPr>
        <w:pStyle w:val="Normal"/>
      </w:pPr>
      <w:r>
        <w:t xml:space="preserve">Holding fast matters.</w:t>
      </w:r>
    </w:p>
    <w:p>
      <w:pPr>
        <w:pStyle w:val="Normal"/>
      </w:pPr>
      <w:r>
        <w:t xml:space="preserve">But those truths do not automatically establish that eternal life is preserved by uninterrupted cognitive recall.</w:t>
      </w:r>
    </w:p>
    <w:p>
      <w:pPr>
        <w:pStyle w:val="Normal"/>
      </w:pPr>
      <w:r>
        <w:t xml:space="preserve">Paul does not say that a person is saved by remembering.</w:t>
      </w:r>
    </w:p>
    <w:p>
      <w:pPr>
        <w:pStyle w:val="Normal"/>
      </w:pPr>
      <w:r>
        <w:t xml:space="preserve">He connects salvation with the Gospel he preached.</w:t>
      </w:r>
    </w:p>
    <w:p>
      <w:pPr>
        <w:pStyle w:val="Normal"/>
      </w:pPr>
      <w:r>
        <w:t xml:space="preserve">The question is therefore not whether the word if matters. It does.</w:t>
      </w:r>
    </w:p>
    <w:p>
      <w:pPr>
        <w:pStyle w:val="Normal"/>
      </w:pPr>
      <w:r>
        <w:t xml:space="preserve">The question is what kind of failure Paul has in view.</w:t>
      </w:r>
    </w:p>
    <w:p>
      <w:pPr>
        <w:pStyle w:val="Normal"/>
      </w:pPr>
      <w:r>
        <w:t xml:space="preserve">The context points to abandoning or contradicting the apostolic Gospel, especially through resurrection denial.</w:t>
      </w:r>
    </w:p>
    <w:p>
      <w:pPr>
        <w:pStyle w:val="Heading2"/>
      </w:pPr>
      <w:r>
        <w:t xml:space="preserve">Segment 6 — What Does Believed in Vain Mean?</w:t>
      </w:r>
    </w:p>
    <w:p>
      <w:pPr>
        <w:pStyle w:val="Heading3"/>
      </w:pPr>
      <w:r>
        <w:t xml:space="preserve">Learning Objective</w:t>
      </w:r>
    </w:p>
    <w:p>
      <w:pPr>
        <w:pStyle w:val="Normal"/>
      </w:pPr>
      <w:r>
        <w:t xml:space="preserve">Use Paul’s own later argument to understand his wording in verse 2.</w:t>
      </w:r>
    </w:p>
    <w:p>
      <w:pPr>
        <w:pStyle w:val="Heading3"/>
      </w:pPr>
      <w:r>
        <w:t xml:space="preserve">Scripture</w:t>
      </w:r>
    </w:p>
    <w:p>
      <w:pPr>
        <w:pStyle w:val="ScriptureBlock"/>
      </w:pPr>
      <w:r>
        <w:rPr>
          <w:b/>
        </w:rPr>
        <w:t xml:space="preserve">1 Corinthians 15:14</w:t>
      </w:r>
      <w:r>
        <w:t xml:space="preserve">  And if Christ be not risen, then is our preaching vain, and your faith is also vain.</w:t>
      </w:r>
    </w:p>
    <w:p>
      <w:pPr>
        <w:pStyle w:val="Heading3"/>
      </w:pPr>
      <w:r>
        <w:t xml:space="preserve">Teaching</w:t>
      </w:r>
    </w:p>
    <w:p>
      <w:pPr>
        <w:pStyle w:val="Normal"/>
      </w:pPr>
      <w:r>
        <w:t xml:space="preserve">Paul gives a specific situation in which their faith would be vain.</w:t>
      </w:r>
    </w:p>
    <w:p>
      <w:pPr>
        <w:pStyle w:val="Normal"/>
      </w:pPr>
      <w:r>
        <w:t xml:space="preserve">If Christ had not risen, the apostolic preaching would be vain and their faith would be vain.</w:t>
      </w:r>
    </w:p>
    <w:p>
      <w:pPr>
        <w:pStyle w:val="Normal"/>
      </w:pPr>
      <w:r>
        <w:t xml:space="preserve">He repeats the argument a few verses later.</w:t>
      </w:r>
    </w:p>
    <w:p>
      <w:pPr>
        <w:pStyle w:val="ScriptureBlock"/>
      </w:pPr>
      <w:r>
        <w:rPr>
          <w:b/>
        </w:rPr>
        <w:t xml:space="preserve">1 Corinthians 15:17</w:t>
      </w:r>
      <w:r>
        <w:t xml:space="preserve">  And if Christ be not raised, your faith is vain; ye are yet in your sins.</w:t>
      </w:r>
    </w:p>
    <w:p>
      <w:pPr>
        <w:pStyle w:val="Normal"/>
      </w:pPr>
      <w:r>
        <w:t xml:space="preserve">The same chapter that introduces the possibility of believing in vain later explains how faith would be vain if Christ were not actually raised.</w:t>
      </w:r>
    </w:p>
    <w:p>
      <w:pPr>
        <w:pStyle w:val="Normal"/>
      </w:pPr>
      <w:r>
        <w:t xml:space="preserve">That gives the resurrection argument strong interpretive weight.</w:t>
      </w:r>
    </w:p>
    <w:p>
      <w:pPr>
        <w:pStyle w:val="Normal"/>
      </w:pPr>
      <w:r>
        <w:t xml:space="preserve">Paul is reasoning hypothetically.</w:t>
      </w:r>
    </w:p>
    <w:p>
      <w:pPr>
        <w:pStyle w:val="Normal"/>
      </w:pPr>
      <w:r>
        <w:t xml:space="preserve">If there is no resurrection of the dead, then Christ is not risen.</w:t>
      </w:r>
    </w:p>
    <w:p>
      <w:pPr>
        <w:pStyle w:val="Normal"/>
      </w:pPr>
      <w:r>
        <w:t xml:space="preserve">If Christ is not risen, the Gospel proclamation is false.</w:t>
      </w:r>
    </w:p>
    <w:p>
      <w:pPr>
        <w:pStyle w:val="Normal"/>
      </w:pPr>
      <w:r>
        <w:t xml:space="preserve">If the Gospel proclamation is false, faith in that message is vain.</w:t>
      </w:r>
    </w:p>
    <w:p>
      <w:pPr>
        <w:pStyle w:val="Normal"/>
      </w:pPr>
      <w:r>
        <w:t xml:space="preserve">But Paul’s argument does not end by conceding that Christ remained dead. He is defending the reality of the resurrection.</w:t>
      </w:r>
    </w:p>
    <w:p>
      <w:pPr>
        <w:pStyle w:val="Normal"/>
      </w:pPr>
      <w:r>
        <w:t xml:space="preserve">So believed in vain should not automatically be rewritten as never really believed.</w:t>
      </w:r>
    </w:p>
    <w:p>
      <w:pPr>
        <w:pStyle w:val="Normal"/>
      </w:pPr>
      <w:r>
        <w:t xml:space="preserve">The chapter gives us a more immediate explanation tied to whether the resurrection Gospel is true.</w:t>
      </w:r>
    </w:p>
    <w:p>
      <w:pPr>
        <w:pStyle w:val="Heading3"/>
      </w:pPr>
      <w:r>
        <w:t xml:space="preserve">Recap</w:t>
      </w:r>
    </w:p>
    <w:p>
      <w:pPr>
        <w:pStyle w:val="Normal"/>
      </w:pPr>
      <w:r>
        <w:t xml:space="preserve">Vain faith in 1 Corinthians 15 is directly connected with the hypothetical possibility that Christ was not raised.</w:t>
      </w:r>
    </w:p>
    <w:p>
      <w:pPr>
        <w:pStyle w:val="Heading2"/>
      </w:pPr>
      <w:r>
        <w:t xml:space="preserve">Segment 7 — Does Forgetting Mean You Lose Salvation?</w:t>
      </w:r>
    </w:p>
    <w:p>
      <w:pPr>
        <w:pStyle w:val="Heading3"/>
      </w:pPr>
      <w:r>
        <w:t xml:space="preserve">Learning Objective</w:t>
      </w:r>
    </w:p>
    <w:p>
      <w:pPr>
        <w:pStyle w:val="Normal"/>
      </w:pPr>
      <w:r>
        <w:t xml:space="preserve">Answer the specific memory-loss question without extending the passage beyond what it addresses.</w:t>
      </w:r>
    </w:p>
    <w:p>
      <w:pPr>
        <w:pStyle w:val="Heading3"/>
      </w:pPr>
      <w:r>
        <w:t xml:space="preserve">Teaching</w:t>
      </w:r>
    </w:p>
    <w:p>
      <w:pPr>
        <w:pStyle w:val="Normal"/>
      </w:pPr>
      <w:r>
        <w:t xml:space="preserve">Imagine a man believes the Gospel when he is twenty-five.</w:t>
      </w:r>
    </w:p>
    <w:p>
      <w:pPr>
        <w:pStyle w:val="Normal"/>
      </w:pPr>
      <w:r>
        <w:t xml:space="preserve">Decades later he develops severe dementia.</w:t>
      </w:r>
    </w:p>
    <w:p>
      <w:pPr>
        <w:pStyle w:val="Normal"/>
      </w:pPr>
      <w:r>
        <w:t xml:space="preserve">Eventually he may not remember what happened yesterday. He may stop recognizing family members. He may lose the ability to explain Christ’s death, burial, and resurrection.</w:t>
      </w:r>
    </w:p>
    <w:p>
      <w:pPr>
        <w:pStyle w:val="Normal"/>
      </w:pPr>
      <w:r>
        <w:t xml:space="preserve">First Corinthians 15 does not describe that man as rejecting the Gospel.</w:t>
      </w:r>
    </w:p>
    <w:p>
      <w:pPr>
        <w:pStyle w:val="Normal"/>
      </w:pPr>
      <w:r>
        <w:t xml:space="preserve">His memory is failing.</w:t>
      </w:r>
    </w:p>
    <w:p>
      <w:pPr>
        <w:pStyle w:val="Normal"/>
      </w:pPr>
      <w:r>
        <w:t xml:space="preserve">The chapter also never gives this sequence:</w:t>
      </w:r>
    </w:p>
    <w:p>
      <w:pPr>
        <w:pStyle w:val="Normal"/>
      </w:pPr>
      <w:r>
        <w:t xml:space="preserve">Believe the Gospel.</w:t>
      </w:r>
    </w:p>
    <w:p>
      <w:pPr>
        <w:pStyle w:val="Normal"/>
      </w:pPr>
      <w:r>
        <w:t xml:space="preserve">Become saved.</w:t>
      </w:r>
    </w:p>
    <w:p>
      <w:pPr>
        <w:pStyle w:val="Normal"/>
      </w:pPr>
      <w:r>
        <w:t xml:space="preserve">Forget the Gospel.</w:t>
      </w:r>
    </w:p>
    <w:p>
      <w:pPr>
        <w:pStyle w:val="Normal"/>
      </w:pPr>
      <w:r>
        <w:t xml:space="preserve">Become unsaved.</w:t>
      </w:r>
    </w:p>
    <w:p>
      <w:pPr>
        <w:pStyle w:val="Normal"/>
      </w:pPr>
      <w:r>
        <w:t xml:space="preserve">That chain of events is absent from the passage.</w:t>
      </w:r>
    </w:p>
    <w:p>
      <w:pPr>
        <w:pStyle w:val="Normal"/>
      </w:pPr>
      <w:r>
        <w:t xml:space="preserve">Therefore 1 Corinthians 15:2 does not establish that involuntary loss of memory causes eternal salvation to be lost.</w:t>
      </w:r>
    </w:p>
    <w:p>
      <w:pPr>
        <w:pStyle w:val="Normal"/>
      </w:pPr>
      <w:r>
        <w:t xml:space="preserve">The verse also does not say that later memory failure reaches backward and proves the person never believed in the first place.</w:t>
      </w:r>
    </w:p>
    <w:p>
      <w:pPr>
        <w:pStyle w:val="Normal"/>
      </w:pPr>
      <w:r>
        <w:t xml:space="preserve">Both conclusions go beyond what Paul says.</w:t>
      </w:r>
    </w:p>
    <w:p>
      <w:pPr>
        <w:pStyle w:val="Heading2"/>
      </w:pPr>
      <w:r>
        <w:t xml:space="preserve">Segment 8 — What About Other Perseverance Passages?</w:t>
      </w:r>
    </w:p>
    <w:p>
      <w:pPr>
        <w:pStyle w:val="Heading3"/>
      </w:pPr>
      <w:r>
        <w:t xml:space="preserve">Learning Objective</w:t>
      </w:r>
    </w:p>
    <w:p>
      <w:pPr>
        <w:pStyle w:val="Normal"/>
      </w:pPr>
      <w:r>
        <w:t xml:space="preserve">Recognize the real objection without forcing other passages to answer a different question.</w:t>
      </w:r>
    </w:p>
    <w:p>
      <w:pPr>
        <w:pStyle w:val="Heading3"/>
      </w:pPr>
      <w:r>
        <w:t xml:space="preserve">Teaching</w:t>
      </w:r>
    </w:p>
    <w:p>
      <w:pPr>
        <w:pStyle w:val="Normal"/>
      </w:pPr>
      <w:r>
        <w:t xml:space="preserve">The Bible contains serious warnings and commands concerning continuance.</w:t>
      </w:r>
    </w:p>
    <w:p>
      <w:pPr>
        <w:pStyle w:val="Normal"/>
      </w:pPr>
      <w:r>
        <w:t xml:space="preserve">Colossians 1:23 uses conditional language connected with continuing in the faith.</w:t>
      </w:r>
    </w:p>
    <w:p>
      <w:pPr>
        <w:pStyle w:val="Normal"/>
      </w:pPr>
      <w:r>
        <w:t xml:space="preserve">Hebrews 3:6 and Hebrews 3:14 contain strong language concerning holding steadfast.</w:t>
      </w:r>
    </w:p>
    <w:p>
      <w:pPr>
        <w:pStyle w:val="Normal"/>
      </w:pPr>
      <w:r>
        <w:t xml:space="preserve">Hebrews 10:23 commands believers to hold fast.</w:t>
      </w:r>
    </w:p>
    <w:p>
      <w:pPr>
        <w:pStyle w:val="Normal"/>
      </w:pPr>
      <w:r>
        <w:t xml:space="preserve">Those passages deserve careful study.</w:t>
      </w:r>
    </w:p>
    <w:p>
      <w:pPr>
        <w:pStyle w:val="Normal"/>
      </w:pPr>
      <w:r>
        <w:t xml:space="preserve">They also show why keep in memory should not be treated as meaningless. Christians really are commanded to continue, stand, and hold fast.</w:t>
      </w:r>
    </w:p>
    <w:p>
      <w:pPr>
        <w:pStyle w:val="Normal"/>
      </w:pPr>
      <w:r>
        <w:t xml:space="preserve">But those passages should be interpreted in their own contexts.</w:t>
      </w:r>
    </w:p>
    <w:p>
      <w:pPr>
        <w:pStyle w:val="Normal"/>
      </w:pPr>
      <w:r>
        <w:t xml:space="preserve">They do not establish the specific claim that dementia or involuntary cognitive failure causes the loss of eternal life.</w:t>
      </w:r>
    </w:p>
    <w:p>
      <w:pPr>
        <w:pStyle w:val="Normal"/>
      </w:pPr>
      <w:r>
        <w:t xml:space="preserve">Nor should every warning about perseverance be turned into a discussion of neurological memory.</w:t>
      </w:r>
    </w:p>
    <w:p>
      <w:pPr>
        <w:pStyle w:val="Normal"/>
      </w:pPr>
      <w:r>
        <w:t xml:space="preserve">The deliberate-apostasy question is broader than the involuntary-memory question.</w:t>
      </w:r>
    </w:p>
    <w:p>
      <w:pPr>
        <w:pStyle w:val="Normal"/>
      </w:pPr>
      <w:r>
        <w:t xml:space="preserve">That distinction should remain clear.</w:t>
      </w:r>
    </w:p>
    <w:p>
      <w:pPr>
        <w:pStyle w:val="Heading2"/>
      </w:pPr>
      <w:r>
        <w:t xml:space="preserve">Segment 9 — Forgetting and Rejecting Are Not the Same</w:t>
      </w:r>
    </w:p>
    <w:p>
      <w:pPr>
        <w:pStyle w:val="Heading3"/>
      </w:pPr>
      <w:r>
        <w:t xml:space="preserve">Learning Objective</w:t>
      </w:r>
    </w:p>
    <w:p>
      <w:pPr>
        <w:pStyle w:val="Normal"/>
      </w:pPr>
      <w:r>
        <w:t xml:space="preserve">Separate the question answered by this passage from the larger question that requires additional study.</w:t>
      </w:r>
    </w:p>
    <w:p>
      <w:pPr>
        <w:pStyle w:val="Heading3"/>
      </w:pPr>
      <w:r>
        <w:t xml:space="preserve">Teaching</w:t>
      </w:r>
    </w:p>
    <w:p>
      <w:pPr>
        <w:pStyle w:val="Normal"/>
      </w:pPr>
      <w:r>
        <w:t xml:space="preserve">There is a real difference between being unable to remember something and consciously denying something.</w:t>
      </w:r>
    </w:p>
    <w:p>
      <w:pPr>
        <w:pStyle w:val="Normal"/>
      </w:pPr>
      <w:r>
        <w:t xml:space="preserve">A believer with severe dementia may lose the physical ability to retrieve truth he once understood.</w:t>
      </w:r>
    </w:p>
    <w:p>
      <w:pPr>
        <w:pStyle w:val="Normal"/>
      </w:pPr>
      <w:r>
        <w:t xml:space="preserve">A person who remembers the Gospel and knowingly says he no longer believes it presents a different question.</w:t>
      </w:r>
    </w:p>
    <w:p>
      <w:pPr>
        <w:pStyle w:val="Normal"/>
      </w:pPr>
      <w:r>
        <w:t xml:space="preserve">That second situation raises the broader subject of apostasy and perseverance.</w:t>
      </w:r>
    </w:p>
    <w:p>
      <w:pPr>
        <w:pStyle w:val="Normal"/>
      </w:pPr>
      <w:r>
        <w:t xml:space="preserve">Passages such as Hebrews 3, Hebrews 6, Hebrews 10, Luke 8:13, and other warning texts deserve their own careful investigation when deliberate rejection is the central question.</w:t>
      </w:r>
    </w:p>
    <w:p>
      <w:pPr>
        <w:pStyle w:val="Normal"/>
      </w:pPr>
      <w:r>
        <w:t xml:space="preserve">We should not use that unresolved broader question to make 1 Corinthians 15:2 say something about dementia that Paul never says.</w:t>
      </w:r>
    </w:p>
    <w:p>
      <w:pPr>
        <w:pStyle w:val="Normal"/>
      </w:pPr>
      <w:r>
        <w:t xml:space="preserve">The present passage gives us enough evidence to answer the memory question.</w:t>
      </w:r>
    </w:p>
    <w:p>
      <w:pPr>
        <w:pStyle w:val="Normal"/>
      </w:pPr>
      <w:r>
        <w:t xml:space="preserve">A saved person does not have to maintain perfect cognitive memory of the Gospel in order to remain saved.</w:t>
      </w:r>
    </w:p>
    <w:p>
      <w:pPr>
        <w:pStyle w:val="Heading2"/>
      </w:pPr>
      <w:r>
        <w:t xml:space="preserve">Segment 10 — The Main Conclusion</w:t>
      </w:r>
    </w:p>
    <w:p>
      <w:pPr>
        <w:pStyle w:val="Normal"/>
      </w:pPr>
      <w:r>
        <w:t xml:space="preserve">Paul is addressing the Corinthian church about the Gospel they had already received and believed.</w:t>
      </w:r>
    </w:p>
    <w:p>
      <w:pPr>
        <w:pStyle w:val="Normal"/>
      </w:pPr>
      <w:r>
        <w:t xml:space="preserve">He tells them to retain what he preached.</w:t>
      </w:r>
    </w:p>
    <w:p>
      <w:pPr>
        <w:pStyle w:val="Normal"/>
      </w:pPr>
      <w:r>
        <w:t xml:space="preserve">The Gospel included Christ’s resurrection.</w:t>
      </w:r>
    </w:p>
    <w:p>
      <w:pPr>
        <w:pStyle w:val="Normal"/>
      </w:pPr>
      <w:r>
        <w:t xml:space="preserve">Some among them were denying resurrection.</w:t>
      </w:r>
    </w:p>
    <w:p>
      <w:pPr>
        <w:pStyle w:val="Normal"/>
      </w:pPr>
      <w:r>
        <w:t xml:space="preserve">Paul then explains that if Christ were not risen, apostolic preaching and Christian faith would be vain.</w:t>
      </w:r>
    </w:p>
    <w:p>
      <w:pPr>
        <w:pStyle w:val="Normal"/>
      </w:pPr>
      <w:r>
        <w:t xml:space="preserve">That sequence explains the language of 1 Corinthians 15:2 without making human memory the means by which salvation is preserved.</w:t>
      </w:r>
    </w:p>
    <w:p>
      <w:pPr>
        <w:pStyle w:val="Normal"/>
      </w:pPr>
      <w:r>
        <w:t xml:space="preserve">Believers should hold fast to the Gospel.</w:t>
      </w:r>
    </w:p>
    <w:p>
      <w:pPr>
        <w:pStyle w:val="Normal"/>
      </w:pPr>
      <w:r>
        <w:t xml:space="preserve">They should not replace resurrection truth with contradictory doctrine.</w:t>
      </w:r>
    </w:p>
    <w:p>
      <w:pPr>
        <w:pStyle w:val="Normal"/>
      </w:pPr>
      <w:r>
        <w:t xml:space="preserve">But a failing brain is not the same thing as rejecting biblical truth.</w:t>
      </w:r>
    </w:p>
    <w:p>
      <w:pPr>
        <w:pStyle w:val="Normal"/>
      </w:pPr>
      <w:r>
        <w:t xml:space="preserve">If someone genuinely believed the Gospel and later suffers dementia, brain injury, or another involuntary loss of memory, 1 Corinthians 15:2 does not say that his salvation disappeared.</w:t>
      </w:r>
    </w:p>
    <w:p>
      <w:pPr>
        <w:pStyle w:val="Normal"/>
      </w:pPr>
      <w:r>
        <w:t xml:space="preserve">It also does not say that his later inability to remember proves his original belief never occurred.</w:t>
      </w:r>
    </w:p>
    <w:p>
      <w:pPr>
        <w:pStyle w:val="Normal"/>
      </w:pPr>
      <w:r>
        <w:t xml:space="preserve">Human memory can fail.</w:t>
      </w:r>
    </w:p>
    <w:p>
      <w:pPr>
        <w:pStyle w:val="Normal"/>
      </w:pPr>
      <w:r>
        <w:t xml:space="preserve">The Gospel does not.</w:t>
      </w:r>
    </w:p>
    <w:p>
      <w:pPr>
        <w:pStyle w:val="Heading2"/>
      </w:pPr>
      <w:r>
        <w:t xml:space="preserve">Key Truths to Remember</w:t>
      </w:r>
    </w:p>
    <w:p>
      <w:pPr>
        <w:pStyle w:val="Normal"/>
      </w:pPr>
      <w:r>
        <w:t xml:space="preserve">• First Corinthians 15:2 must be read within the resurrection argument of 1 Corinthians 15.</w:t>
      </w:r>
    </w:p>
    <w:p>
      <w:pPr>
        <w:pStyle w:val="Normal"/>
      </w:pPr>
      <w:r>
        <w:t xml:space="preserve">• Paul addresses the Corinthian church as people who had received, believed, and stood in the Gospel.</w:t>
      </w:r>
    </w:p>
    <w:p>
      <w:pPr>
        <w:pStyle w:val="Normal"/>
      </w:pPr>
      <w:r>
        <w:t xml:space="preserve">• Keep in memory concerns retaining what Paul preached, especially in the face of resurrection error.</w:t>
      </w:r>
    </w:p>
    <w:p>
      <w:pPr>
        <w:pStyle w:val="Normal"/>
      </w:pPr>
      <w:r>
        <w:t xml:space="preserve">• The word if is real; believers genuinely should hold fast to Gospel truth.</w:t>
      </w:r>
    </w:p>
    <w:p>
      <w:pPr>
        <w:pStyle w:val="Normal"/>
      </w:pPr>
      <w:r>
        <w:t xml:space="preserve">• Believed in vain is illuminated by Paul’s later argument that faith would be vain if Christ were not risen.</w:t>
      </w:r>
    </w:p>
    <w:p>
      <w:pPr>
        <w:pStyle w:val="Normal"/>
      </w:pPr>
      <w:r>
        <w:t xml:space="preserve">• Involuntary memory loss is different from deliberate doctrinal rejection.</w:t>
      </w:r>
    </w:p>
    <w:p>
      <w:pPr>
        <w:pStyle w:val="Normal"/>
      </w:pPr>
      <w:r>
        <w:t xml:space="preserve">• First Corinthians 15:2 does not make perfect lifelong cognitive memory a condition for remaining saved.</w:t>
      </w:r>
    </w:p>
    <w:p>
      <w:pPr>
        <w:pStyle w:val="Heading2"/>
      </w:pPr>
      <w:r>
        <w:t xml:space="preserve">Study It Further</w:t>
      </w:r>
    </w:p>
    <w:p>
      <w:pPr>
        <w:pStyle w:val="Heading3"/>
      </w:pPr>
      <w:r>
        <w:t xml:space="preserve">Questions to Work Through</w:t>
      </w:r>
    </w:p>
    <w:p>
      <w:pPr>
        <w:pStyle w:val="Normal"/>
      </w:pPr>
      <w:r>
        <w:t xml:space="preserve">1. What descriptions of the Corinthians appear in 1 Corinthians 15:1-2 before Paul says keep in memory?</w:t>
      </w:r>
    </w:p>
    <w:p>
      <w:pPr>
        <w:pStyle w:val="Normal"/>
      </w:pPr>
      <w:r>
        <w:t xml:space="preserve">2. What specific Gospel content does Paul identify in verses 3-4?</w:t>
      </w:r>
    </w:p>
    <w:p>
      <w:pPr>
        <w:pStyle w:val="Normal"/>
      </w:pPr>
      <w:r>
        <w:t xml:space="preserve">3. What doctrinal error is revealed in verse 12?</w:t>
      </w:r>
    </w:p>
    <w:p>
      <w:pPr>
        <w:pStyle w:val="Normal"/>
      </w:pPr>
      <w:r>
        <w:t xml:space="preserve">4. How does resurrection denial explain Paul’s concern that the Corinthians retain what he preached?</w:t>
      </w:r>
    </w:p>
    <w:p>
      <w:pPr>
        <w:pStyle w:val="Normal"/>
      </w:pPr>
      <w:r>
        <w:t xml:space="preserve">5. According to verses 14 and 17, under what condition would Christian faith be vain?</w:t>
      </w:r>
    </w:p>
    <w:p>
      <w:pPr>
        <w:pStyle w:val="Normal"/>
      </w:pPr>
      <w:r>
        <w:t xml:space="preserve">6. What is the difference between a person being unable to remember the Gospel and a person knowingly rejecting it?</w:t>
      </w:r>
    </w:p>
    <w:p>
      <w:pPr>
        <w:pStyle w:val="Normal"/>
      </w:pPr>
      <w:r>
        <w:t xml:space="preserve">7. Why should passages concerning perseverance be studied in their own contexts rather than automatically applied to dementia?</w:t>
      </w:r>
    </w:p>
    <w:p>
      <w:pPr>
        <w:pStyle w:val="Normal"/>
      </w:pPr>
      <w:r>
        <w:t xml:space="preserve">8. What questions remain if someone consciously remembers the Gospel but later deliberately rejects it?</w:t>
      </w:r>
    </w:p>
    <w:p>
      <w:pPr>
        <w:pStyle w:val="Heading3"/>
      </w:pPr>
      <w:r>
        <w:t xml:space="preserve">Scriptures for Further Study</w:t>
      </w:r>
    </w:p>
    <w:p>
      <w:pPr>
        <w:pStyle w:val="Normal"/>
      </w:pPr>
      <w:r>
        <w:rPr>
          <w:b/>
        </w:rPr>
        <w:t xml:space="preserve">1 Corinthians 15:1-19</w:t>
      </w:r>
      <w:r>
        <w:t xml:space="preserve"> — Read the entire opening argument as one unit. It shows the movement from the Gospel received at Corinth to the resurrection controversy and Paul’s explanation of vain faith.</w:t>
      </w:r>
    </w:p>
    <w:p>
      <w:pPr>
        <w:pStyle w:val="Normal"/>
      </w:pPr>
      <w:r>
        <w:rPr>
          <w:b/>
        </w:rPr>
        <w:t xml:space="preserve">Colossians 1:23</w:t>
      </w:r>
      <w:r>
        <w:t xml:space="preserve"> — Study this passage because it uses conditional language about continuing in the faith and raises an important broader perseverance question.</w:t>
      </w:r>
    </w:p>
    <w:p>
      <w:pPr>
        <w:pStyle w:val="Normal"/>
      </w:pPr>
      <w:r>
        <w:rPr>
          <w:b/>
        </w:rPr>
        <w:t xml:space="preserve">Hebrews 3:6, 14</w:t>
      </w:r>
      <w:r>
        <w:t xml:space="preserve"> — These verses connect holding steadfast with strong spiritual language and deserve careful attention when studying perseverance rather than involuntary memory loss.</w:t>
      </w:r>
    </w:p>
    <w:p>
      <w:pPr>
        <w:pStyle w:val="Normal"/>
      </w:pPr>
      <w:r>
        <w:rPr>
          <w:b/>
        </w:rPr>
        <w:t xml:space="preserve">Hebrews 10:23</w:t>
      </w:r>
      <w:r>
        <w:t xml:space="preserve"> — This passage commands believers to hold fast and helps establish that continuing in truth is a genuine Christian responsibility.</w:t>
      </w:r>
    </w:p>
    <w:p>
      <w:pPr>
        <w:pStyle w:val="Normal"/>
      </w:pPr>
      <w:r>
        <w:rPr>
          <w:b/>
        </w:rPr>
        <w:t xml:space="preserve">Luke 8:13</w:t>
      </w:r>
      <w:r>
        <w:t xml:space="preserve"> — This verse describes people who believe for a while and later fall away. It is relevant to the separate question of later departure, although it does not define believed in vain in 1 Corinthians 15.</w:t>
      </w:r>
    </w:p>
    <w:p>
      <w:pPr>
        <w:pStyle w:val="Normal"/>
      </w:pPr>
      <w:r>
        <w:rPr>
          <w:b/>
        </w:rPr>
        <w:t xml:space="preserve">1 Corinthians 15:14, 17</w:t>
      </w:r>
      <w:r>
        <w:t xml:space="preserve"> — Return to these verses when studying believed in vain. They provide the clearest explanation inside the chapter of how faith would become vain if Christ were not raised.</w:t>
      </w:r>
    </w:p>
    <w:p>
      <w:pPr>
        <w:pStyle w:val="MinistryBlock"/>
      </w:pPr>
      <w:r>
        <w:t xml:space="preserve">If this helped you, please consider giving to this ministry.</w:t>
      </w:r>
    </w:p>
    <w:p>
      <w:pPr>
        <w:pStyle w:val="MinistryBlock"/>
      </w:pPr>
      <w:r>
        <w:t xml:space="preserve">True Words Baptist Church  |  truewordsbaptist.org</w:t>
      </w:r>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Logo"/>
          <a:graphic>
            <a:graphicData uri="http://schemas.openxmlformats.org/drawingml/2006/picture">
              <pic:pic>
                <pic:nvPicPr>
                  <pic:cNvPr id="0" name="TWBC"/>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fldSimple w:instr=" PAGE ">
      <w:r>
        <w:t>1</w:t>
      </w:r>
    </w:fldSimple>
    <w:r>
      <w:t xml:space="preserve"> OF </w:t>
    </w:r>
    <w:fldSimple w:instr=" NUMPAGES ">
      <w:r>
        <w:t>1</w:t>
      </w:r>
    </w:fldSimple>
  </w:p>
</w:ftr>
</file>

<file path=word/header1.xml><?xml version="1.0" encoding="utf-8"?>
<w:hdr xmlns:w="http://schemas.openxmlformats.org/wordprocessingml/2006/main">
  <w:p>
    <w:pPr>
      <w:pStyle w:val="HeaderText"/>
      <w:jc w:val="center"/>
      <w:pBdr>
        <w:bottom w:val="single" w:sz="4" w:space="5" w:color="D9D9D9"/>
      </w:pBdr>
    </w:pPr>
    <w:r>
      <w:t>True Words Baptist Church  |  Long-Form Teaching Video  |  The Resurrection Context That Explains “Keep in Memory” — Long-Form Teaching Video</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style>
  <w:style w:type="paragraph" w:styleId="Title">
    <w:name w:val="Title"/>
    <w:basedOn w:val="Normal"/>
    <w:pPr>
      <w:jc w:val="center"/>
      <w:spacing w:before="40" w:after="70"/>
    </w:pPr>
    <w:rPr>
      <w:b/>
      <w:sz w:val="36"/>
      <w:szCs w:val="36"/>
    </w:rPr>
  </w:style>
  <w:style w:type="paragraph" w:styleId="Subtitle">
    <w:name w:val="Subtitle"/>
    <w:basedOn w:val="Normal"/>
    <w:pPr>
      <w:jc w:val="center"/>
      <w:spacing w:after="160"/>
    </w:pPr>
    <w:rPr>
      <w:b/>
      <w:sz w:val="24"/>
      <w:szCs w:val="24"/>
    </w:rPr>
  </w:style>
  <w:style w:type="paragraph" w:styleId="SubtitleSmall">
    <w:name w:val="Subtitle Small"/>
    <w:basedOn w:val="Normal"/>
    <w:pPr>
      <w:jc w:val="center"/>
      <w:spacing w:after="260"/>
    </w:pPr>
    <w:rPr>
      <w:color w:val="555555"/>
      <w:sz w:val="21"/>
      <w:szCs w:val="21"/>
    </w:rPr>
  </w:style>
  <w:style w:type="paragraph" w:styleId="Heading1">
    <w:name w:val="heading 1"/>
    <w:basedOn w:val="Normal"/>
    <w:qFormat/>
    <w:pPr>
      <w:keepNext/>
      <w:spacing w:before="300" w:after="110"/>
      <w:pBdr>
        <w:bottom w:val="single" w:sz="6" w:space="5" w:color="D9D9D9"/>
      </w:pBdr>
    </w:pPr>
    <w:rPr>
      <w:b/>
      <w:sz w:val="30"/>
      <w:szCs w:val="30"/>
    </w:rPr>
  </w:style>
  <w:style w:type="paragraph" w:styleId="Heading2">
    <w:name w:val="heading 2"/>
    <w:basedOn w:val="Normal"/>
    <w:qFormat/>
    <w:pPr>
      <w:keepNext/>
      <w:spacing w:before="230" w:after="80"/>
    </w:pPr>
    <w:rPr>
      <w:b/>
      <w:sz w:val="26"/>
      <w:szCs w:val="26"/>
    </w:rPr>
  </w:style>
  <w:style w:type="paragraph" w:styleId="Heading3">
    <w:name w:val="heading 3"/>
    <w:basedOn w:val="Normal"/>
    <w:qFormat/>
    <w:pPr>
      <w:keepNext/>
      <w:spacing w:before="190" w:after="70"/>
    </w:pPr>
    <w:rPr>
      <w:b/>
      <w:sz w:val="23"/>
      <w:szCs w:val="23"/>
    </w:rPr>
  </w:style>
  <w:style w:type="paragraph" w:styleId="ScriptureBlock">
    <w:name w:val="Scripture Block"/>
    <w:basedOn w:val="Normal"/>
    <w:pPr>
      <w:shd w:val="clear" w:fill="F7F7F7"/>
      <w:pBdr>
        <w:left w:val="single" w:sz="8" w:space="8" w:color="A6A6A6"/>
      </w:pBdr>
      <w:ind w:left="180" w:right="120"/>
      <w:spacing w:before="100" w:after="170"/>
    </w:pPr>
    <w:rPr>
      <w:sz w:val="21"/>
      <w:szCs w:val="21"/>
    </w:rPr>
  </w:style>
  <w:style w:type="paragraph" w:styleId="Callout">
    <w:name w:val="Callout"/>
    <w:basedOn w:val="Normal"/>
    <w:pPr>
      <w:shd w:val="clear" w:fill="F3F4F5"/>
      <w:ind w:left="180" w:right="180"/>
      <w:spacing w:before="80" w:after="170"/>
    </w:pPr>
    <w:rPr>
      <w:color w:val="444444"/>
      <w:sz w:val="21"/>
    </w:rPr>
  </w:style>
  <w:style w:type="paragraph" w:styleId="EvidenceLabel">
    <w:name w:val="Evidence Label"/>
    <w:basedOn w:val="Normal"/>
    <w:pPr>
      <w:keepNext/>
      <w:spacing w:before="120" w:after="30"/>
    </w:pPr>
    <w:rPr>
      <w:b/>
      <w:color w:val="555555"/>
      <w:sz w:val="19"/>
    </w:rPr>
  </w:style>
  <w:style w:type="paragraph" w:styleId="FirstPageIdentity">
    <w:name w:val="First Page Identity"/>
    <w:basedOn w:val="Normal"/>
    <w:pPr>
      <w:jc w:val="center"/>
      <w:spacing w:after="90"/>
    </w:pPr>
    <w:rPr>
      <w:color w:val="555555"/>
      <w:sz w:val="18"/>
    </w:rPr>
  </w:style>
  <w:style w:type="paragraph" w:styleId="HeaderText">
    <w:name w:val="Header Text"/>
    <w:basedOn w:val="Normal"/>
    <w:rPr>
      <w:color w:val="666666"/>
      <w:sz w:val="16"/>
    </w:rPr>
  </w:style>
  <w:style w:type="paragraph" w:styleId="FooterText">
    <w:name w:val="Footer Text"/>
    <w:basedOn w:val="Normal"/>
    <w:rPr>
      <w:color w:val="666666"/>
      <w:sz w:val="16"/>
    </w:rPr>
  </w:style>
  <w:style w:type="paragraph" w:styleId="MinistryBlock">
    <w:name w:val="Ministry Block"/>
    <w:basedOn w:val="Normal"/>
    <w:pPr>
      <w:jc w:val="center"/>
      <w:spacing w:before="300" w:after="80"/>
    </w:pPr>
    <w:rPr>
      <w:b/>
      <w:color w:val="555555"/>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True Words Baptist Church</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Resurrection Context That Explains “Keep in Memory” - Long-Form - Full Teaching Script</dc:title>
  <dc:creator>True Words Baptist Church</dc:creator>
  <cp:lastModifiedBy>True Words Baptist Church</cp:lastModifiedBy>
  <dcterms:created xsi:type="dcterms:W3CDTF">2026-09-03T10:06:50Z</dcterms:created>
  <dcterms:modified xsi:type="dcterms:W3CDTF">2026-09-03T10:06:50Z</dcterms:modified>
</cp:coreProperties>
</file>